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华文中宋" w:hAnsi="华文中宋" w:eastAsia="华文中宋" w:cs="华文中宋"/>
          <w:b w:val="0"/>
          <w:bCs w:val="0"/>
          <w:color w:val="FF0000"/>
          <w:sz w:val="30"/>
          <w:szCs w:val="30"/>
        </w:rPr>
      </w:pPr>
      <w:r>
        <w:rPr>
          <w:rStyle w:val="5"/>
          <w:rFonts w:hint="eastAsia" w:ascii="华文中宋" w:hAnsi="华文中宋" w:eastAsia="华文中宋" w:cs="华文中宋"/>
          <w:b w:val="0"/>
          <w:bCs w:val="0"/>
          <w:color w:val="FF0000"/>
          <w:sz w:val="30"/>
          <w:szCs w:val="30"/>
          <w:lang w:eastAsia="zh-CN"/>
        </w:rPr>
        <w:t>首届</w:t>
      </w:r>
      <w:r>
        <w:rPr>
          <w:rStyle w:val="5"/>
          <w:rFonts w:ascii="华文中宋" w:hAnsi="华文中宋" w:eastAsia="华文中宋" w:cs="华文中宋"/>
          <w:b w:val="0"/>
          <w:bCs w:val="0"/>
          <w:color w:val="FF0000"/>
          <w:sz w:val="30"/>
          <w:szCs w:val="30"/>
        </w:rPr>
        <w:t>“</w:t>
      </w:r>
      <w:r>
        <w:rPr>
          <w:rStyle w:val="5"/>
          <w:rFonts w:hint="eastAsia" w:ascii="华文中宋" w:hAnsi="华文中宋" w:eastAsia="华文中宋" w:cs="华文中宋"/>
          <w:b w:val="0"/>
          <w:bCs w:val="0"/>
          <w:color w:val="FF0000"/>
          <w:sz w:val="30"/>
          <w:szCs w:val="30"/>
        </w:rPr>
        <w:t>全面加强党的建设，</w:t>
      </w:r>
      <w:bookmarkStart w:id="0" w:name="_GoBack"/>
      <w:bookmarkEnd w:id="0"/>
    </w:p>
    <w:p>
      <w:pPr>
        <w:jc w:val="center"/>
        <w:rPr>
          <w:rStyle w:val="5"/>
          <w:rFonts w:hint="eastAsia" w:ascii="华文中宋" w:hAnsi="华文中宋" w:eastAsia="华文中宋" w:cs="华文中宋"/>
          <w:b w:val="0"/>
          <w:bCs w:val="0"/>
          <w:color w:val="FF0000"/>
          <w:sz w:val="30"/>
          <w:szCs w:val="30"/>
          <w:lang w:eastAsia="zh-CN"/>
        </w:rPr>
      </w:pPr>
      <w:r>
        <w:rPr>
          <w:rStyle w:val="5"/>
          <w:rFonts w:hint="eastAsia" w:ascii="华文中宋" w:hAnsi="华文中宋" w:eastAsia="华文中宋" w:cs="华文中宋"/>
          <w:b w:val="0"/>
          <w:bCs w:val="0"/>
          <w:color w:val="FF0000"/>
          <w:sz w:val="30"/>
          <w:szCs w:val="30"/>
        </w:rPr>
        <w:t>推进国家治理体系和治理能力现代化</w:t>
      </w:r>
      <w:r>
        <w:rPr>
          <w:rStyle w:val="5"/>
          <w:rFonts w:ascii="华文中宋" w:hAnsi="华文中宋" w:eastAsia="华文中宋" w:cs="华文中宋"/>
          <w:b w:val="0"/>
          <w:bCs w:val="0"/>
          <w:color w:val="FF0000"/>
          <w:sz w:val="30"/>
          <w:szCs w:val="30"/>
        </w:rPr>
        <w:t>”</w:t>
      </w:r>
      <w:r>
        <w:rPr>
          <w:rStyle w:val="5"/>
          <w:rFonts w:hint="eastAsia" w:ascii="华文中宋" w:hAnsi="华文中宋" w:eastAsia="华文中宋" w:cs="华文中宋"/>
          <w:b w:val="0"/>
          <w:bCs w:val="0"/>
          <w:color w:val="FF0000"/>
          <w:sz w:val="30"/>
          <w:szCs w:val="30"/>
        </w:rPr>
        <w:t>专题</w:t>
      </w:r>
      <w:r>
        <w:rPr>
          <w:rStyle w:val="5"/>
          <w:rFonts w:ascii="华文中宋" w:hAnsi="华文中宋" w:eastAsia="华文中宋" w:cs="华文中宋"/>
          <w:b w:val="0"/>
          <w:bCs w:val="0"/>
          <w:color w:val="FF0000"/>
          <w:sz w:val="30"/>
          <w:szCs w:val="30"/>
        </w:rPr>
        <w:t>研讨会</w:t>
      </w:r>
      <w:r>
        <w:rPr>
          <w:rStyle w:val="5"/>
          <w:rFonts w:hint="eastAsia" w:ascii="华文中宋" w:hAnsi="华文中宋" w:eastAsia="华文中宋" w:cs="华文中宋"/>
          <w:b w:val="0"/>
          <w:bCs w:val="0"/>
          <w:color w:val="FF0000"/>
          <w:sz w:val="30"/>
          <w:szCs w:val="30"/>
          <w:lang w:eastAsia="zh-CN"/>
        </w:rPr>
        <w:t>通知</w:t>
      </w:r>
    </w:p>
    <w:p>
      <w:pPr>
        <w:jc w:val="left"/>
        <w:rPr>
          <w:rStyle w:val="5"/>
          <w:rFonts w:hint="eastAsia" w:ascii="仿宋_GB2312" w:hAnsi="仿宋" w:eastAsia="仿宋_GB2312"/>
          <w:b w:val="0"/>
          <w:bCs w:val="0"/>
          <w:color w:val="auto"/>
          <w:sz w:val="32"/>
          <w:szCs w:val="32"/>
          <w:u w:val="none"/>
          <w:lang w:eastAsia="zh-CN"/>
        </w:rPr>
      </w:pPr>
    </w:p>
    <w:p>
      <w:pPr>
        <w:ind w:firstLine="640" w:firstLineChars="200"/>
        <w:rPr>
          <w:rStyle w:val="5"/>
          <w:rFonts w:hint="eastAsia" w:ascii="仿宋_GB2312" w:hAnsi="仿宋" w:eastAsia="仿宋_GB2312"/>
          <w:sz w:val="32"/>
          <w:szCs w:val="32"/>
        </w:rPr>
      </w:pPr>
      <w:r>
        <w:rPr>
          <w:rStyle w:val="5"/>
          <w:rFonts w:hint="eastAsia" w:ascii="仿宋_GB2312" w:hAnsi="仿宋" w:eastAsia="仿宋_GB2312"/>
          <w:sz w:val="32"/>
          <w:szCs w:val="32"/>
        </w:rPr>
        <w:t>为深入学习习近平新时代中国特色社会主义思想，</w:t>
      </w:r>
      <w:r>
        <w:rPr>
          <w:rStyle w:val="5"/>
          <w:rFonts w:hint="eastAsia" w:ascii="仿宋_GB2312" w:hAnsi="仿宋" w:eastAsia="仿宋_GB2312"/>
          <w:sz w:val="32"/>
          <w:szCs w:val="32"/>
          <w:lang w:eastAsia="zh-CN"/>
        </w:rPr>
        <w:t>全面</w:t>
      </w:r>
      <w:r>
        <w:rPr>
          <w:rStyle w:val="5"/>
          <w:rFonts w:hint="eastAsia" w:ascii="仿宋_GB2312" w:hAnsi="仿宋" w:eastAsia="仿宋_GB2312"/>
          <w:sz w:val="32"/>
          <w:szCs w:val="32"/>
        </w:rPr>
        <w:t>贯彻落实党的十九届四中全会精神，2019年12月</w:t>
      </w:r>
      <w:r>
        <w:rPr>
          <w:rStyle w:val="5"/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Style w:val="5"/>
          <w:rFonts w:hint="eastAsia" w:ascii="仿宋_GB2312" w:hAnsi="仿宋" w:eastAsia="仿宋_GB2312"/>
          <w:sz w:val="32"/>
          <w:szCs w:val="32"/>
        </w:rPr>
        <w:t>日至8日，</w:t>
      </w:r>
      <w:r>
        <w:rPr>
          <w:rStyle w:val="5"/>
          <w:rFonts w:hint="eastAsia" w:ascii="仿宋_GB2312" w:hAnsi="仿宋" w:eastAsia="仿宋_GB2312"/>
          <w:color w:val="auto"/>
          <w:sz w:val="32"/>
          <w:szCs w:val="32"/>
          <w:lang w:eastAsia="zh-CN"/>
        </w:rPr>
        <w:t>求是网</w:t>
      </w:r>
      <w:r>
        <w:rPr>
          <w:rStyle w:val="5"/>
          <w:rFonts w:hint="eastAsia" w:ascii="仿宋_GB2312" w:hAnsi="仿宋" w:eastAsia="仿宋_GB2312"/>
          <w:color w:val="auto"/>
          <w:sz w:val="32"/>
          <w:szCs w:val="32"/>
        </w:rPr>
        <w:t>将</w:t>
      </w:r>
      <w:r>
        <w:rPr>
          <w:rStyle w:val="5"/>
          <w:rFonts w:hint="eastAsia" w:ascii="仿宋_GB2312" w:hAnsi="仿宋" w:eastAsia="仿宋_GB2312"/>
          <w:sz w:val="32"/>
          <w:szCs w:val="32"/>
        </w:rPr>
        <w:t>与浙江</w:t>
      </w:r>
      <w:r>
        <w:rPr>
          <w:rStyle w:val="5"/>
          <w:rFonts w:hint="eastAsia" w:ascii="仿宋_GB2312" w:hAnsi="仿宋" w:eastAsia="仿宋_GB2312"/>
          <w:sz w:val="32"/>
          <w:szCs w:val="32"/>
          <w:lang w:eastAsia="zh-CN"/>
        </w:rPr>
        <w:t>省温州市</w:t>
      </w:r>
      <w:r>
        <w:rPr>
          <w:rStyle w:val="5"/>
          <w:rFonts w:hint="eastAsia" w:ascii="仿宋_GB2312" w:hAnsi="仿宋" w:eastAsia="仿宋_GB2312"/>
          <w:sz w:val="32"/>
          <w:szCs w:val="32"/>
        </w:rPr>
        <w:t>苍南县</w:t>
      </w:r>
      <w:r>
        <w:rPr>
          <w:rStyle w:val="5"/>
          <w:rFonts w:hint="eastAsia" w:ascii="仿宋_GB2312" w:hAnsi="仿宋" w:eastAsia="仿宋_GB2312"/>
          <w:sz w:val="32"/>
          <w:szCs w:val="32"/>
          <w:lang w:eastAsia="zh-CN"/>
        </w:rPr>
        <w:t>委</w:t>
      </w:r>
      <w:r>
        <w:rPr>
          <w:rStyle w:val="5"/>
          <w:rFonts w:hint="eastAsia" w:ascii="仿宋_GB2312" w:hAnsi="仿宋" w:eastAsia="仿宋_GB2312"/>
          <w:sz w:val="32"/>
          <w:szCs w:val="32"/>
        </w:rPr>
        <w:t>、徐工集团党委、广州市知微科技有限公司等单位在苍南县联合举办</w:t>
      </w:r>
      <w:r>
        <w:rPr>
          <w:rStyle w:val="5"/>
          <w:rFonts w:hint="eastAsia" w:ascii="仿宋_GB2312" w:hAnsi="仿宋" w:eastAsia="仿宋_GB2312"/>
          <w:sz w:val="32"/>
          <w:szCs w:val="32"/>
          <w:lang w:eastAsia="zh-CN"/>
        </w:rPr>
        <w:t>首届</w:t>
      </w:r>
      <w:r>
        <w:rPr>
          <w:rStyle w:val="5"/>
          <w:rFonts w:hint="eastAsia" w:ascii="仿宋_GB2312" w:hAnsi="仿宋" w:eastAsia="仿宋_GB2312"/>
          <w:sz w:val="32"/>
          <w:szCs w:val="32"/>
        </w:rPr>
        <w:t>“全面加强党的建设，推进国家治理体系和治理能力现代化”专题研讨会。</w:t>
      </w:r>
    </w:p>
    <w:p>
      <w:pPr>
        <w:ind w:firstLine="640" w:firstLineChars="200"/>
        <w:rPr>
          <w:rStyle w:val="5"/>
          <w:rFonts w:hint="eastAsia" w:ascii="仿宋_GB2312" w:hAnsi="仿宋" w:eastAsia="仿宋_GB2312"/>
          <w:sz w:val="32"/>
          <w:szCs w:val="32"/>
        </w:rPr>
      </w:pPr>
      <w:r>
        <w:rPr>
          <w:rStyle w:val="5"/>
          <w:rFonts w:hint="eastAsia" w:ascii="仿宋_GB2312" w:hAnsi="仿宋" w:eastAsia="仿宋_GB2312"/>
          <w:sz w:val="32"/>
          <w:szCs w:val="32"/>
        </w:rPr>
        <w:t xml:space="preserve">本次研讨会将邀请中央部门权威专家宣讲党的十九届四中全会精神，邀请地方党委负责人、部分央企领导、地方国企领导及优秀民营企业家等嘉宾总结交流党建工作创新案例，生动反映各级党组织在全面加强党的建设、推进国家治理体系和治理能力现代化过程中取得的扎实成效。 </w:t>
      </w:r>
    </w:p>
    <w:p>
      <w:pPr>
        <w:ind w:firstLine="640" w:firstLineChars="200"/>
        <w:jc w:val="left"/>
        <w:rPr>
          <w:rStyle w:val="5"/>
          <w:rFonts w:hint="eastAsia" w:ascii="仿宋_GB2312" w:hAnsi="仿宋" w:eastAsia="仿宋_GB2312"/>
          <w:color w:val="auto"/>
          <w:sz w:val="32"/>
          <w:szCs w:val="32"/>
        </w:rPr>
      </w:pPr>
      <w:r>
        <w:rPr>
          <w:rStyle w:val="5"/>
          <w:rFonts w:hint="eastAsia" w:ascii="仿宋_GB2312" w:hAnsi="仿宋" w:eastAsia="仿宋_GB2312"/>
          <w:color w:val="auto"/>
          <w:sz w:val="32"/>
          <w:szCs w:val="32"/>
        </w:rPr>
        <w:t>现诚邀</w:t>
      </w:r>
      <w:r>
        <w:rPr>
          <w:rStyle w:val="5"/>
          <w:rFonts w:hint="eastAsia" w:ascii="仿宋_GB2312" w:hAnsi="仿宋" w:eastAsia="仿宋_GB2312"/>
          <w:color w:val="auto"/>
          <w:sz w:val="32"/>
          <w:szCs w:val="32"/>
          <w:lang w:eastAsia="zh-CN"/>
        </w:rPr>
        <w:t>各地方党委负责人和企业主要负责人等</w:t>
      </w:r>
      <w:r>
        <w:rPr>
          <w:rStyle w:val="5"/>
          <w:rFonts w:hint="eastAsia" w:ascii="仿宋_GB2312" w:hAnsi="仿宋" w:eastAsia="仿宋_GB2312"/>
          <w:color w:val="auto"/>
          <w:sz w:val="32"/>
          <w:szCs w:val="32"/>
        </w:rPr>
        <w:t>参会，与中共中央机关刊及</w:t>
      </w:r>
      <w:r>
        <w:rPr>
          <w:rStyle w:val="5"/>
          <w:rFonts w:hint="eastAsia" w:ascii="仿宋_GB2312" w:hAnsi="仿宋" w:eastAsia="仿宋_GB2312"/>
          <w:color w:val="auto"/>
          <w:sz w:val="32"/>
          <w:szCs w:val="32"/>
          <w:lang w:eastAsia="zh-CN"/>
        </w:rPr>
        <w:t>与会专家学者</w:t>
      </w:r>
      <w:r>
        <w:rPr>
          <w:rStyle w:val="5"/>
          <w:rFonts w:hint="eastAsia" w:ascii="仿宋_GB2312" w:hAnsi="仿宋" w:eastAsia="仿宋_GB2312"/>
          <w:color w:val="auto"/>
          <w:sz w:val="32"/>
          <w:szCs w:val="32"/>
        </w:rPr>
        <w:t>深度交流，就如何加强党的建设、提高抓党建促治理的能力和水平、推进国家治理体系和治理能力现代化等议题进行深入研讨，建言献策。</w:t>
      </w:r>
    </w:p>
    <w:p>
      <w:pPr>
        <w:ind w:firstLine="640" w:firstLineChars="200"/>
        <w:jc w:val="left"/>
        <w:rPr>
          <w:rStyle w:val="5"/>
          <w:rFonts w:hint="eastAsia" w:ascii="仿宋_GB2312" w:hAnsi="仿宋" w:eastAsia="仿宋_GB2312"/>
          <w:color w:val="auto"/>
          <w:sz w:val="32"/>
          <w:szCs w:val="32"/>
        </w:rPr>
      </w:pPr>
      <w:r>
        <w:rPr>
          <w:rStyle w:val="5"/>
          <w:rFonts w:hint="eastAsia" w:ascii="仿宋_GB2312" w:hAnsi="仿宋" w:eastAsia="仿宋_GB2312"/>
          <w:color w:val="auto"/>
          <w:sz w:val="32"/>
          <w:szCs w:val="32"/>
          <w:lang w:eastAsia="zh-CN"/>
        </w:rPr>
        <w:t>参</w:t>
      </w:r>
      <w:r>
        <w:rPr>
          <w:rStyle w:val="5"/>
          <w:rFonts w:hint="eastAsia" w:ascii="仿宋_GB2312" w:hAnsi="仿宋" w:eastAsia="仿宋_GB2312"/>
          <w:color w:val="auto"/>
          <w:sz w:val="32"/>
          <w:szCs w:val="32"/>
        </w:rPr>
        <w:t>会</w:t>
      </w:r>
      <w:r>
        <w:rPr>
          <w:rStyle w:val="5"/>
          <w:rFonts w:hint="eastAsia" w:ascii="仿宋_GB2312" w:hAnsi="仿宋" w:eastAsia="仿宋_GB2312"/>
          <w:color w:val="auto"/>
          <w:sz w:val="32"/>
          <w:szCs w:val="32"/>
          <w:lang w:eastAsia="zh-CN"/>
        </w:rPr>
        <w:t>人员请</w:t>
      </w:r>
      <w:r>
        <w:rPr>
          <w:rStyle w:val="5"/>
          <w:rFonts w:hint="eastAsia" w:ascii="仿宋_GB2312" w:hAnsi="仿宋" w:eastAsia="仿宋_GB2312"/>
          <w:color w:val="auto"/>
          <w:sz w:val="32"/>
          <w:szCs w:val="32"/>
        </w:rPr>
        <w:t>于2019年11月</w:t>
      </w:r>
      <w:r>
        <w:rPr>
          <w:rStyle w:val="5"/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22</w:t>
      </w:r>
      <w:r>
        <w:rPr>
          <w:rStyle w:val="5"/>
          <w:rFonts w:hint="eastAsia" w:ascii="仿宋_GB2312" w:hAnsi="仿宋" w:eastAsia="仿宋_GB2312"/>
          <w:color w:val="auto"/>
          <w:sz w:val="32"/>
          <w:szCs w:val="32"/>
        </w:rPr>
        <w:t>日17:00前，将回执表（附后）通过传真或电子邮件方式</w:t>
      </w:r>
      <w:r>
        <w:rPr>
          <w:rStyle w:val="5"/>
          <w:rFonts w:hint="eastAsia" w:ascii="仿宋_GB2312" w:hAnsi="仿宋" w:eastAsia="仿宋_GB2312"/>
          <w:color w:val="auto"/>
          <w:sz w:val="32"/>
          <w:szCs w:val="32"/>
          <w:lang w:eastAsia="zh-CN"/>
        </w:rPr>
        <w:t>反馈</w:t>
      </w:r>
      <w:r>
        <w:rPr>
          <w:rStyle w:val="5"/>
          <w:rFonts w:hint="eastAsia" w:ascii="仿宋_GB2312" w:hAnsi="仿宋" w:eastAsia="仿宋_GB2312"/>
          <w:color w:val="auto"/>
          <w:sz w:val="32"/>
          <w:szCs w:val="32"/>
        </w:rPr>
        <w:t>联系人，以</w:t>
      </w:r>
      <w:r>
        <w:rPr>
          <w:rStyle w:val="5"/>
          <w:rFonts w:hint="eastAsia" w:ascii="仿宋_GB2312" w:hAnsi="仿宋" w:eastAsia="仿宋_GB2312"/>
          <w:color w:val="auto"/>
          <w:sz w:val="32"/>
          <w:szCs w:val="32"/>
          <w:lang w:eastAsia="zh-CN"/>
        </w:rPr>
        <w:t>便于安排接送机（站）及食宿接待</w:t>
      </w:r>
      <w:r>
        <w:rPr>
          <w:rStyle w:val="5"/>
          <w:rFonts w:hint="eastAsia" w:ascii="仿宋_GB2312" w:hAnsi="仿宋" w:eastAsia="仿宋_GB2312"/>
          <w:color w:val="auto"/>
          <w:sz w:val="32"/>
          <w:szCs w:val="32"/>
        </w:rPr>
        <w:t>服务。</w:t>
      </w:r>
    </w:p>
    <w:p>
      <w:pPr>
        <w:jc w:val="left"/>
        <w:rPr>
          <w:rStyle w:val="5"/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before="156" w:line="579" w:lineRule="exact"/>
        <w:ind w:firstLine="681" w:firstLineChars="213"/>
        <w:jc w:val="left"/>
        <w:rPr>
          <w:rStyle w:val="5"/>
          <w:rFonts w:hint="eastAsia" w:ascii="仿宋_GB2312" w:hAnsi="仿宋" w:eastAsia="仿宋_GB2312"/>
          <w:color w:val="auto"/>
          <w:sz w:val="32"/>
          <w:szCs w:val="32"/>
        </w:rPr>
      </w:pPr>
      <w:r>
        <w:rPr>
          <w:rStyle w:val="5"/>
          <w:rFonts w:hint="eastAsia" w:ascii="仿宋_GB2312" w:hAnsi="仿宋" w:eastAsia="仿宋_GB2312"/>
          <w:color w:val="auto"/>
          <w:sz w:val="32"/>
          <w:szCs w:val="32"/>
        </w:rPr>
        <w:t>联系人：蔡梓涵  18612832498 （010）64037138</w:t>
      </w:r>
    </w:p>
    <w:p>
      <w:pPr>
        <w:spacing w:line="579" w:lineRule="exact"/>
        <w:ind w:firstLine="681" w:firstLineChars="213"/>
        <w:jc w:val="left"/>
        <w:rPr>
          <w:rStyle w:val="5"/>
          <w:rFonts w:hint="eastAsia" w:ascii="仿宋_GB2312" w:hAnsi="仿宋" w:eastAsia="仿宋_GB2312"/>
          <w:color w:val="auto"/>
          <w:sz w:val="32"/>
          <w:szCs w:val="32"/>
        </w:rPr>
      </w:pPr>
      <w:r>
        <w:rPr>
          <w:rStyle w:val="5"/>
          <w:rFonts w:hint="eastAsia" w:ascii="仿宋_GB2312" w:hAnsi="仿宋" w:eastAsia="仿宋_GB2312"/>
          <w:color w:val="auto"/>
          <w:sz w:val="32"/>
          <w:szCs w:val="32"/>
        </w:rPr>
        <w:t xml:space="preserve">        汤宝兰  13716078165 （010）64037138 </w:t>
      </w:r>
    </w:p>
    <w:p>
      <w:pPr>
        <w:spacing w:line="579" w:lineRule="exact"/>
        <w:ind w:firstLine="681" w:firstLineChars="213"/>
        <w:jc w:val="left"/>
        <w:rPr>
          <w:rStyle w:val="5"/>
          <w:rFonts w:hint="eastAsia" w:ascii="仿宋_GB2312" w:hAnsi="仿宋" w:eastAsia="仿宋_GB2312"/>
          <w:color w:val="auto"/>
          <w:sz w:val="32"/>
          <w:szCs w:val="32"/>
        </w:rPr>
      </w:pPr>
      <w:r>
        <w:rPr>
          <w:rStyle w:val="5"/>
          <w:rFonts w:hint="eastAsia" w:ascii="仿宋_GB2312" w:hAnsi="仿宋" w:eastAsia="仿宋_GB2312"/>
          <w:color w:val="auto"/>
          <w:sz w:val="32"/>
          <w:szCs w:val="32"/>
        </w:rPr>
        <w:t>传真：（010）6403</w:t>
      </w:r>
      <w:r>
        <w:rPr>
          <w:rStyle w:val="5"/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8792</w:t>
      </w:r>
      <w:r>
        <w:rPr>
          <w:rStyle w:val="5"/>
          <w:rFonts w:hint="eastAsia"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spacing w:line="579" w:lineRule="exact"/>
        <w:ind w:firstLine="681" w:firstLineChars="213"/>
        <w:jc w:val="left"/>
        <w:rPr>
          <w:rStyle w:val="5"/>
          <w:rFonts w:hint="eastAsia" w:ascii="仿宋_GB2312" w:hAnsi="仿宋" w:eastAsia="仿宋_GB2312"/>
          <w:color w:val="auto"/>
          <w:sz w:val="32"/>
          <w:szCs w:val="32"/>
        </w:rPr>
      </w:pPr>
      <w:r>
        <w:rPr>
          <w:rStyle w:val="5"/>
          <w:rFonts w:hint="eastAsia" w:ascii="仿宋_GB2312" w:hAnsi="仿宋" w:eastAsia="仿宋_GB2312"/>
          <w:color w:val="auto"/>
          <w:sz w:val="32"/>
          <w:szCs w:val="32"/>
        </w:rPr>
        <w:t>邮箱：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fldChar w:fldCharType="begin"/>
      </w:r>
      <w:r>
        <w:rPr>
          <w:rStyle w:val="5"/>
          <w:rFonts w:hint="eastAsia" w:ascii="仿宋_GB2312" w:hAnsi="仿宋" w:eastAsia="仿宋_GB2312"/>
          <w:color w:val="auto"/>
          <w:sz w:val="32"/>
          <w:szCs w:val="32"/>
        </w:rPr>
        <w:instrText xml:space="preserve"> HYPERLINK "mailto:tangbl@qstheory.com" </w:instrText>
      </w:r>
      <w:r>
        <w:rPr>
          <w:rFonts w:hint="eastAsia" w:ascii="仿宋_GB2312" w:hAnsi="仿宋" w:eastAsia="仿宋_GB2312"/>
          <w:color w:val="auto"/>
          <w:sz w:val="32"/>
          <w:szCs w:val="32"/>
        </w:rPr>
        <w:fldChar w:fldCharType="separate"/>
      </w:r>
      <w:r>
        <w:rPr>
          <w:rStyle w:val="3"/>
          <w:rFonts w:hint="eastAsia" w:ascii="仿宋_GB2312" w:hAnsi="仿宋" w:eastAsia="仿宋_GB2312"/>
          <w:color w:val="auto"/>
          <w:sz w:val="32"/>
          <w:szCs w:val="32"/>
        </w:rPr>
        <w:t>tangbl@qstheory.com</w:t>
      </w:r>
      <w:r>
        <w:rPr>
          <w:rFonts w:hint="eastAsia" w:ascii="仿宋_GB2312" w:hAnsi="仿宋" w:eastAsia="仿宋_GB2312"/>
          <w:color w:val="auto"/>
          <w:sz w:val="32"/>
          <w:szCs w:val="32"/>
        </w:rPr>
        <w:fldChar w:fldCharType="end"/>
      </w:r>
    </w:p>
    <w:p>
      <w:pPr>
        <w:spacing w:line="579" w:lineRule="exact"/>
        <w:ind w:firstLine="681" w:firstLineChars="213"/>
        <w:jc w:val="both"/>
        <w:rPr>
          <w:rStyle w:val="5"/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79" w:lineRule="exact"/>
        <w:ind w:firstLine="681" w:firstLineChars="213"/>
        <w:jc w:val="both"/>
        <w:rPr>
          <w:rStyle w:val="5"/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ind w:firstLine="640" w:firstLineChars="200"/>
        <w:jc w:val="left"/>
        <w:rPr>
          <w:rStyle w:val="5"/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</w:pPr>
      <w:r>
        <w:rPr>
          <w:rStyle w:val="5"/>
          <w:rFonts w:hint="eastAsia" w:ascii="仿宋_GB2312" w:hAnsi="仿宋" w:eastAsia="仿宋_GB2312" w:cs="Times New Roman"/>
          <w:color w:val="auto"/>
          <w:sz w:val="32"/>
          <w:szCs w:val="32"/>
        </w:rPr>
        <w:t xml:space="preserve"> </w:t>
      </w:r>
      <w:r>
        <w:rPr>
          <w:rStyle w:val="5"/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Style w:val="5"/>
          <w:rFonts w:hint="eastAsia" w:ascii="仿宋_GB2312" w:hAnsi="仿宋" w:eastAsia="仿宋_GB2312" w:cs="Times New Roman"/>
          <w:color w:val="auto"/>
          <w:sz w:val="32"/>
          <w:szCs w:val="32"/>
        </w:rPr>
        <w:t>求是杂志社</w:t>
      </w:r>
      <w:r>
        <w:rPr>
          <w:rStyle w:val="5"/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全媒体发展中心</w:t>
      </w:r>
    </w:p>
    <w:p>
      <w:pPr>
        <w:ind w:firstLine="640" w:firstLineChars="200"/>
        <w:jc w:val="left"/>
        <w:rPr>
          <w:rStyle w:val="5"/>
          <w:rFonts w:hint="eastAsia" w:ascii="仿宋_GB2312" w:hAnsi="仿宋" w:eastAsia="仿宋_GB2312" w:cs="Times New Roman"/>
          <w:color w:val="auto"/>
          <w:sz w:val="32"/>
          <w:szCs w:val="32"/>
        </w:rPr>
      </w:pPr>
      <w:r>
        <w:rPr>
          <w:rStyle w:val="5"/>
          <w:rFonts w:hint="eastAsia" w:ascii="仿宋_GB2312" w:hAnsi="仿宋" w:eastAsia="仿宋_GB2312" w:cs="Times New Roman"/>
          <w:color w:val="auto"/>
          <w:sz w:val="32"/>
          <w:szCs w:val="32"/>
        </w:rPr>
        <w:t xml:space="preserve">                           </w:t>
      </w:r>
      <w:r>
        <w:rPr>
          <w:rStyle w:val="5"/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仿宋_GB2312" w:hAnsi="仿宋" w:eastAsia="仿宋_GB2312" w:cs="Times New Roman"/>
          <w:color w:val="auto"/>
          <w:sz w:val="32"/>
          <w:szCs w:val="32"/>
        </w:rPr>
        <w:t>2019年1</w:t>
      </w:r>
      <w:r>
        <w:rPr>
          <w:rStyle w:val="5"/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Style w:val="5"/>
          <w:rFonts w:hint="eastAsia" w:ascii="仿宋_GB2312" w:hAnsi="仿宋" w:eastAsia="仿宋_GB2312" w:cs="Times New Roman"/>
          <w:color w:val="auto"/>
          <w:sz w:val="32"/>
          <w:szCs w:val="32"/>
        </w:rPr>
        <w:t>月</w:t>
      </w:r>
      <w:r>
        <w:rPr>
          <w:rStyle w:val="5"/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Style w:val="5"/>
          <w:rFonts w:hint="eastAsia" w:ascii="仿宋_GB2312" w:hAnsi="仿宋" w:eastAsia="仿宋_GB2312" w:cs="Times New Roman"/>
          <w:color w:val="auto"/>
          <w:sz w:val="32"/>
          <w:szCs w:val="32"/>
        </w:rPr>
        <w:t>日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widowControl w:val="0"/>
        <w:wordWrap w:val="0"/>
        <w:jc w:val="lef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附件：</w:t>
      </w:r>
    </w:p>
    <w:p>
      <w:pPr>
        <w:widowControl w:val="0"/>
        <w:wordWrap w:val="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wordWrap w:val="0"/>
        <w:spacing w:after="156" w:afterLines="50"/>
        <w:jc w:val="center"/>
        <w:rPr>
          <w:rFonts w:hint="default" w:ascii="仿宋_GB2312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“全面加强党的建设，推进国家治理体系和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 xml:space="preserve">  </w:t>
      </w:r>
    </w:p>
    <w:p>
      <w:pPr>
        <w:widowControl w:val="0"/>
        <w:wordWrap w:val="0"/>
        <w:spacing w:after="156" w:afterLines="50"/>
        <w:jc w:val="center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治理能力现代化”专题研讨会回执表</w:t>
      </w:r>
    </w:p>
    <w:p>
      <w:pPr>
        <w:widowControl w:val="0"/>
        <w:wordWrap w:val="0"/>
        <w:spacing w:after="156" w:afterLines="50"/>
        <w:ind w:firstLine="643" w:firstLineChars="200"/>
        <w:jc w:val="left"/>
        <w:rPr>
          <w:rFonts w:hint="eastAsia" w:ascii="仿宋_GB2312" w:hAnsi="黑体" w:eastAsia="仿宋_GB2312" w:cs="黑体"/>
          <w:b/>
          <w:bCs/>
          <w:sz w:val="32"/>
          <w:szCs w:val="32"/>
        </w:rPr>
      </w:pPr>
    </w:p>
    <w:tbl>
      <w:tblPr>
        <w:tblStyle w:val="4"/>
        <w:tblW w:w="81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2168"/>
        <w:gridCol w:w="1746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14" w:type="dxa"/>
            <w:vAlign w:val="center"/>
          </w:tcPr>
          <w:p>
            <w:pPr>
              <w:widowControl w:val="0"/>
              <w:wordWrap w:val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姓名</w:t>
            </w:r>
          </w:p>
        </w:tc>
        <w:tc>
          <w:tcPr>
            <w:tcW w:w="2168" w:type="dxa"/>
            <w:vAlign w:val="center"/>
          </w:tcPr>
          <w:p>
            <w:pPr>
              <w:widowControl w:val="0"/>
              <w:wordWrap w:val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46" w:type="dxa"/>
            <w:vAlign w:val="center"/>
          </w:tcPr>
          <w:p>
            <w:pPr>
              <w:widowControl w:val="0"/>
              <w:wordWrap w:val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职务</w:t>
            </w:r>
          </w:p>
        </w:tc>
        <w:tc>
          <w:tcPr>
            <w:tcW w:w="2631" w:type="dxa"/>
            <w:vAlign w:val="center"/>
          </w:tcPr>
          <w:p>
            <w:pPr>
              <w:widowControl w:val="0"/>
              <w:wordWrap w:val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614" w:type="dxa"/>
            <w:vAlign w:val="center"/>
          </w:tcPr>
          <w:p>
            <w:pPr>
              <w:widowControl w:val="0"/>
              <w:wordWrap w:val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所在单位</w:t>
            </w:r>
          </w:p>
        </w:tc>
        <w:tc>
          <w:tcPr>
            <w:tcW w:w="6545" w:type="dxa"/>
            <w:gridSpan w:val="3"/>
            <w:vAlign w:val="center"/>
          </w:tcPr>
          <w:p>
            <w:pPr>
              <w:widowControl w:val="0"/>
              <w:wordWrap w:val="0"/>
              <w:jc w:val="both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614" w:type="dxa"/>
            <w:vAlign w:val="center"/>
          </w:tcPr>
          <w:p>
            <w:pPr>
              <w:widowControl w:val="0"/>
              <w:wordWrap w:val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手机号码</w:t>
            </w:r>
          </w:p>
        </w:tc>
        <w:tc>
          <w:tcPr>
            <w:tcW w:w="6545" w:type="dxa"/>
            <w:gridSpan w:val="3"/>
            <w:vAlign w:val="center"/>
          </w:tcPr>
          <w:p>
            <w:pPr>
              <w:widowControl w:val="0"/>
              <w:wordWrap w:val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</w:tbl>
    <w:p>
      <w:pPr>
        <w:widowControl w:val="0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81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2168"/>
        <w:gridCol w:w="1746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14" w:type="dxa"/>
            <w:vAlign w:val="center"/>
          </w:tcPr>
          <w:p>
            <w:pPr>
              <w:widowControl w:val="0"/>
              <w:wordWrap w:val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姓名</w:t>
            </w:r>
          </w:p>
        </w:tc>
        <w:tc>
          <w:tcPr>
            <w:tcW w:w="2168" w:type="dxa"/>
            <w:vAlign w:val="center"/>
          </w:tcPr>
          <w:p>
            <w:pPr>
              <w:widowControl w:val="0"/>
              <w:wordWrap w:val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46" w:type="dxa"/>
            <w:vAlign w:val="center"/>
          </w:tcPr>
          <w:p>
            <w:pPr>
              <w:widowControl w:val="0"/>
              <w:wordWrap w:val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职务</w:t>
            </w:r>
          </w:p>
        </w:tc>
        <w:tc>
          <w:tcPr>
            <w:tcW w:w="2631" w:type="dxa"/>
            <w:vAlign w:val="center"/>
          </w:tcPr>
          <w:p>
            <w:pPr>
              <w:widowControl w:val="0"/>
              <w:wordWrap w:val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14" w:type="dxa"/>
            <w:vAlign w:val="center"/>
          </w:tcPr>
          <w:p>
            <w:pPr>
              <w:widowControl w:val="0"/>
              <w:wordWrap w:val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所在单位</w:t>
            </w:r>
          </w:p>
        </w:tc>
        <w:tc>
          <w:tcPr>
            <w:tcW w:w="6545" w:type="dxa"/>
            <w:gridSpan w:val="3"/>
            <w:vAlign w:val="center"/>
          </w:tcPr>
          <w:p>
            <w:pPr>
              <w:widowControl w:val="0"/>
              <w:wordWrap w:val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614" w:type="dxa"/>
            <w:vAlign w:val="center"/>
          </w:tcPr>
          <w:p>
            <w:pPr>
              <w:widowControl w:val="0"/>
              <w:wordWrap w:val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手机号码</w:t>
            </w:r>
          </w:p>
        </w:tc>
        <w:tc>
          <w:tcPr>
            <w:tcW w:w="6545" w:type="dxa"/>
            <w:gridSpan w:val="3"/>
            <w:vAlign w:val="center"/>
          </w:tcPr>
          <w:p>
            <w:pPr>
              <w:widowControl w:val="0"/>
              <w:wordWrap w:val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lassic Grotesque W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D14D5"/>
    <w:rsid w:val="4B1D14D5"/>
    <w:rsid w:val="56524D75"/>
    <w:rsid w:val="6B146B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313131"/>
      <w:u w:val="none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2019-11-15T06:23:00Z</dcterms:created>
  <dc:creator>空谷幽兰anngel</dc:creator>
  <cp:lastModifiedBy>dm</cp:lastModifiedBy>
  <dcterms:modified xsi:type="dcterms:W3CDTF">2019-11-15T06:58:09Z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