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after="156" w:afterLines="50" w:line="360" w:lineRule="exact"/>
        <w:ind w:firstLine="720"/>
        <w:jc w:val="center"/>
        <w:rPr>
          <w:rFonts w:hint="eastAsia"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 w:val="0"/>
        <w:spacing w:after="156" w:afterLines="50" w:line="360" w:lineRule="exact"/>
        <w:ind w:firstLine="720"/>
        <w:jc w:val="center"/>
        <w:rPr>
          <w:rFonts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中国新闻奖参评作品推荐表</w:t>
      </w:r>
    </w:p>
    <w:tbl>
      <w:tblPr>
        <w:tblStyle w:val="5"/>
        <w:tblpPr w:leftFromText="180" w:rightFromText="180" w:vertAnchor="text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0"/>
        <w:gridCol w:w="1109"/>
        <w:gridCol w:w="1559"/>
        <w:gridCol w:w="1559"/>
        <w:gridCol w:w="851"/>
        <w:gridCol w:w="56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551" w:type="dxa"/>
            <w:gridSpan w:val="2"/>
            <w:vMerge w:val="restart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4227" w:type="dxa"/>
            <w:gridSpan w:val="3"/>
            <w:vMerge w:val="restart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求是杂志社调研组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系列融媒体作品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参评项目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文字、视频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 w:val="0"/>
              <w:spacing w:line="240" w:lineRule="atLeast"/>
              <w:ind w:firstLine="1200" w:firstLineChars="500"/>
              <w:jc w:val="both"/>
              <w:rPr>
                <w:rFonts w:hint="eastAsia" w:ascii="仿宋_GB2312" w:eastAsia="仿宋_GB2312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551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作  者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（主创人员）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仿宋_GB2312" w:hAnsi="华文中宋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张宇、宋维强、狄英娜、张建平、周昭成、柴潇凡、聂悄语、刘名美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 w:val="0"/>
              <w:spacing w:line="240" w:lineRule="exact"/>
              <w:ind w:firstLine="0" w:firstLineChars="0"/>
              <w:rPr>
                <w:rFonts w:hint="eastAsia" w:ascii="仿宋" w:hAnsi="仿宋" w:eastAsia="仿宋"/>
                <w:color w:val="000000" w:themeColor="text1"/>
                <w:w w:val="95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集体（马建辉、王光煦、韩辰、周茉丹）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51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原创单位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widowControl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求是杂志社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刊播单位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 w:ascii="仿宋_GB2312" w:hAnsi="仿宋" w:eastAsia="仿宋_GB2312"/>
                <w:color w:val="000000" w:themeColor="text1"/>
                <w:sz w:val="18"/>
                <w:szCs w:val="18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exact"/>
        </w:trPr>
        <w:tc>
          <w:tcPr>
            <w:tcW w:w="1551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刊播版面</w:t>
            </w: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名称和版次)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widowControl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求是网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刊播日期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2021年3月17日至2021年6月16日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exact"/>
        </w:trPr>
        <w:tc>
          <w:tcPr>
            <w:tcW w:w="2660" w:type="dxa"/>
            <w:gridSpan w:val="3"/>
            <w:vAlign w:val="center"/>
          </w:tcPr>
          <w:p>
            <w:pPr>
              <w:widowControl w:val="0"/>
              <w:spacing w:line="2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新媒体作品填报网址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"http://www.qstheory.cn/zt2021/qsdyzrmt/index.htm" </w:instrTex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http://www.qstheory.cn/zt2021/qsdyzrmt/index.htm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107950</wp:posOffset>
                  </wp:positionV>
                  <wp:extent cx="1399540" cy="1399540"/>
                  <wp:effectExtent l="0" t="0" r="10160" b="10160"/>
                  <wp:wrapTopAndBottom/>
                  <wp:docPr id="1" name="图片 1" descr="求是调研组系列作品二维码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求是调研组系列作品二维码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8" w:hRule="atLeast"/>
        </w:trPr>
        <w:tc>
          <w:tcPr>
            <w:tcW w:w="1101" w:type="dxa"/>
            <w:vAlign w:val="center"/>
          </w:tcPr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︵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采作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编品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过简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程介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︶</w:t>
            </w:r>
          </w:p>
        </w:tc>
        <w:tc>
          <w:tcPr>
            <w:tcW w:w="864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在全党深入开展党史学习教育之际，求是杂志社调研组于2021年3、4月份到湖南、贵州、云南、陕西等地进行专题调研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随走、随看、随采写、随编发，推出了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25篇（部）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有深度、有新意、有影响的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融媒体作品。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仿宋" w:hAnsi="仿宋" w:eastAsia="仿宋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第一阶段，调研组沿着当年中央红军长征足迹，深入回溯通道转兵、黎平会议、猴场会议、遵义会议、扎西会议、苟坝会议的历史脉络，撰写形成了《通道转兵：实现长征伟大转折的开端》《遵义会议：伟大征程上的伟大转折》《扎西会议：推动中国革命走向胜利新阶段》等网文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在此基础上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研报告《中国革命从这里转折——从通道转兵到遵义会议》在求是网首发，并在《求是》杂志2021年第8期刊发。在第二阶段，调研组深入陕西渭南、延安等地，采写制作了《瓦窑堡会议：“一次极关重要的会议”》《“六中全会是决定中国之命运的”》《党的七大：在毛泽东的旗帜下胜利前进》等网文以及《319块青砖，见证这段历史》《直罗大捷，奠基西北！》等微视频。在此基础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调研报告《用马克思主义之箭射中国革命之的——党的七大确立毛泽东思想在全党的指导地位》在求是网首发，并在《求是》杂志2021年第12期刊发。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系列融媒体作品及两篇在《求是》杂志刊发的调研报告产生良好反响，累计转载媒体2022家。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</w:trPr>
        <w:tc>
          <w:tcPr>
            <w:tcW w:w="1101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8646" w:type="dxa"/>
            <w:gridSpan w:val="7"/>
          </w:tcPr>
          <w:p>
            <w:pPr>
              <w:widowControl w:val="0"/>
              <w:spacing w:line="240" w:lineRule="auto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深入探寻遵义会议伟大转折与确立毛泽东同志领导地位的历史关联，深入探寻毛泽东思想在全党指导地位确立的历史过程，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求是杂志社调研组系列融媒体作品从历史和现实、理论和实践的结合上，有力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引导人们在重温历史中深刻领悟新时代“两个确立”的决定性意义，更加增强坚定做到“两个维护”的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政治自觉、思想自觉、行动自觉。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exac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︵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初推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评荐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评理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语由</w:t>
            </w:r>
          </w:p>
          <w:p>
            <w:pPr>
              <w:widowControl w:val="0"/>
              <w:spacing w:line="3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︶</w:t>
            </w:r>
          </w:p>
        </w:tc>
        <w:tc>
          <w:tcPr>
            <w:tcW w:w="8646" w:type="dxa"/>
            <w:gridSpan w:val="7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求是杂志社调研组系列融媒体作品产生了较好的社会反响，其中一些文章、视频中提出的观点、论断，产生较为广泛的影响，充分体现了党中央机关刊推进刊网深度融合、全媒体理论传播的进展成效。</w:t>
            </w:r>
          </w:p>
          <w:p>
            <w:pPr>
              <w:widowControl w:val="0"/>
              <w:spacing w:line="240" w:lineRule="auto"/>
              <w:ind w:firstLine="42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ind w:firstLine="3312" w:firstLineChars="1200"/>
              <w:rPr>
                <w:rFonts w:ascii="华文中宋" w:hAnsi="华文中宋" w:eastAsia="华文中宋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 w:val="0"/>
              <w:spacing w:line="360" w:lineRule="exact"/>
              <w:ind w:firstLine="5460" w:firstLineChars="1950"/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ind w:firstLine="5460" w:firstLineChars="195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ind w:firstLine="560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ind w:firstLine="0" w:firstLineChars="0"/>
        <w:rPr>
          <w:rFonts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5" w:type="default"/>
          <w:pgSz w:w="11906" w:h="16838"/>
          <w:pgMar w:top="1440" w:right="1247" w:bottom="1440" w:left="1247" w:header="851" w:footer="1418" w:gutter="0"/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rPr>
          <w:rFonts w:hint="eastAsia" w:eastAsia="宋体"/>
          <w:lang w:eastAsia="zh-CN"/>
        </w:rPr>
      </w:pPr>
    </w:p>
    <w:sectPr>
      <w:headerReference r:id="rId6" w:type="default"/>
      <w:pgSz w:w="11906" w:h="16838"/>
      <w:pgMar w:top="1440" w:right="1247" w:bottom="1440" w:left="1247" w:header="851" w:footer="141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OTZjYTEwZDk0OTI5YWNhMzBjM2YyN2YwYzZiYTgifQ=="/>
  </w:docVars>
  <w:rsids>
    <w:rsidRoot w:val="70255D2C"/>
    <w:rsid w:val="009D0EA3"/>
    <w:rsid w:val="012905DD"/>
    <w:rsid w:val="016C627B"/>
    <w:rsid w:val="01955A40"/>
    <w:rsid w:val="01981619"/>
    <w:rsid w:val="01FE4BF0"/>
    <w:rsid w:val="0215400D"/>
    <w:rsid w:val="021600A4"/>
    <w:rsid w:val="02F66891"/>
    <w:rsid w:val="02FE3E7B"/>
    <w:rsid w:val="035942F1"/>
    <w:rsid w:val="04A95538"/>
    <w:rsid w:val="04DE0D2D"/>
    <w:rsid w:val="05065269"/>
    <w:rsid w:val="05167415"/>
    <w:rsid w:val="055C7C7E"/>
    <w:rsid w:val="05FD0817"/>
    <w:rsid w:val="06397C63"/>
    <w:rsid w:val="06BF0FF5"/>
    <w:rsid w:val="06C07699"/>
    <w:rsid w:val="06DD024B"/>
    <w:rsid w:val="076C21CB"/>
    <w:rsid w:val="0853270D"/>
    <w:rsid w:val="08805EE1"/>
    <w:rsid w:val="08AA2871"/>
    <w:rsid w:val="08BC5BFD"/>
    <w:rsid w:val="08FC1699"/>
    <w:rsid w:val="090B6A84"/>
    <w:rsid w:val="092922BD"/>
    <w:rsid w:val="09AE61A5"/>
    <w:rsid w:val="0AD30210"/>
    <w:rsid w:val="0AF275A4"/>
    <w:rsid w:val="0C574766"/>
    <w:rsid w:val="0D13640D"/>
    <w:rsid w:val="0DB51E9B"/>
    <w:rsid w:val="0E2C6AF4"/>
    <w:rsid w:val="0E4A4418"/>
    <w:rsid w:val="0ECF0977"/>
    <w:rsid w:val="0F404BBB"/>
    <w:rsid w:val="10D42F72"/>
    <w:rsid w:val="11433A92"/>
    <w:rsid w:val="115F0E40"/>
    <w:rsid w:val="11965BC6"/>
    <w:rsid w:val="12A632BE"/>
    <w:rsid w:val="12EC2379"/>
    <w:rsid w:val="142C2170"/>
    <w:rsid w:val="15002C2F"/>
    <w:rsid w:val="153D033F"/>
    <w:rsid w:val="153E18E1"/>
    <w:rsid w:val="155C45DD"/>
    <w:rsid w:val="156A3CE7"/>
    <w:rsid w:val="15CD6C41"/>
    <w:rsid w:val="174A4AD4"/>
    <w:rsid w:val="177E59D6"/>
    <w:rsid w:val="17E93260"/>
    <w:rsid w:val="188E6A7B"/>
    <w:rsid w:val="18CD0120"/>
    <w:rsid w:val="194700DE"/>
    <w:rsid w:val="19A86456"/>
    <w:rsid w:val="1A4C2C51"/>
    <w:rsid w:val="1B467924"/>
    <w:rsid w:val="1BC138FD"/>
    <w:rsid w:val="1C0B1225"/>
    <w:rsid w:val="1C2224D5"/>
    <w:rsid w:val="1CA97FFC"/>
    <w:rsid w:val="1D072D69"/>
    <w:rsid w:val="1D661CA0"/>
    <w:rsid w:val="1E3C22D9"/>
    <w:rsid w:val="1E6D4B8E"/>
    <w:rsid w:val="1F145A66"/>
    <w:rsid w:val="1F76003A"/>
    <w:rsid w:val="1F9F1E22"/>
    <w:rsid w:val="20CC2A2B"/>
    <w:rsid w:val="20DF3989"/>
    <w:rsid w:val="211441B8"/>
    <w:rsid w:val="211803A6"/>
    <w:rsid w:val="214B4AA3"/>
    <w:rsid w:val="21522912"/>
    <w:rsid w:val="21B747B5"/>
    <w:rsid w:val="22516DEF"/>
    <w:rsid w:val="22592A24"/>
    <w:rsid w:val="22AB1EC7"/>
    <w:rsid w:val="22AF6AE8"/>
    <w:rsid w:val="22E53DE0"/>
    <w:rsid w:val="23680E51"/>
    <w:rsid w:val="23B04B72"/>
    <w:rsid w:val="241E5D8C"/>
    <w:rsid w:val="24454A36"/>
    <w:rsid w:val="25E76599"/>
    <w:rsid w:val="26107A27"/>
    <w:rsid w:val="264E2B09"/>
    <w:rsid w:val="26C57CD6"/>
    <w:rsid w:val="27931731"/>
    <w:rsid w:val="27DC42F5"/>
    <w:rsid w:val="28275BC2"/>
    <w:rsid w:val="286C2CF6"/>
    <w:rsid w:val="28F56F13"/>
    <w:rsid w:val="28F80045"/>
    <w:rsid w:val="28FE338A"/>
    <w:rsid w:val="2927290E"/>
    <w:rsid w:val="2A2D108D"/>
    <w:rsid w:val="2AC72C59"/>
    <w:rsid w:val="2B125E66"/>
    <w:rsid w:val="2BBA1C1A"/>
    <w:rsid w:val="2C4703AC"/>
    <w:rsid w:val="2C5228C2"/>
    <w:rsid w:val="2C7A1273"/>
    <w:rsid w:val="2D3225F5"/>
    <w:rsid w:val="2D7F087B"/>
    <w:rsid w:val="2D9621F8"/>
    <w:rsid w:val="2D9A635C"/>
    <w:rsid w:val="2E060290"/>
    <w:rsid w:val="2E921B6F"/>
    <w:rsid w:val="2EC12B33"/>
    <w:rsid w:val="2F181AC6"/>
    <w:rsid w:val="2F3056F7"/>
    <w:rsid w:val="2F8C6C45"/>
    <w:rsid w:val="2FB95FB7"/>
    <w:rsid w:val="2FF84732"/>
    <w:rsid w:val="2FFF9EC8"/>
    <w:rsid w:val="303A637B"/>
    <w:rsid w:val="30D46A04"/>
    <w:rsid w:val="310C21AB"/>
    <w:rsid w:val="31D441A2"/>
    <w:rsid w:val="32144F2E"/>
    <w:rsid w:val="331A7FAD"/>
    <w:rsid w:val="336A0D4B"/>
    <w:rsid w:val="34802092"/>
    <w:rsid w:val="348303F3"/>
    <w:rsid w:val="34C26CB8"/>
    <w:rsid w:val="34D66499"/>
    <w:rsid w:val="351058D4"/>
    <w:rsid w:val="35690D78"/>
    <w:rsid w:val="35772635"/>
    <w:rsid w:val="357C436D"/>
    <w:rsid w:val="358008D6"/>
    <w:rsid w:val="35B206E4"/>
    <w:rsid w:val="35C91375"/>
    <w:rsid w:val="35DA5FE3"/>
    <w:rsid w:val="37462A8A"/>
    <w:rsid w:val="37BA3B0D"/>
    <w:rsid w:val="37E456FF"/>
    <w:rsid w:val="37E83B48"/>
    <w:rsid w:val="37FBB838"/>
    <w:rsid w:val="381A6F10"/>
    <w:rsid w:val="382F1C91"/>
    <w:rsid w:val="388364E1"/>
    <w:rsid w:val="38BC66EE"/>
    <w:rsid w:val="38BE015D"/>
    <w:rsid w:val="399C55A6"/>
    <w:rsid w:val="39B44386"/>
    <w:rsid w:val="3B260723"/>
    <w:rsid w:val="3B4B30C0"/>
    <w:rsid w:val="3CBF2E29"/>
    <w:rsid w:val="3CC857B6"/>
    <w:rsid w:val="3CF37F40"/>
    <w:rsid w:val="3D7648ED"/>
    <w:rsid w:val="3F184B51"/>
    <w:rsid w:val="3F2B709E"/>
    <w:rsid w:val="3F690D03"/>
    <w:rsid w:val="3F6C07EC"/>
    <w:rsid w:val="409A106C"/>
    <w:rsid w:val="417C1E33"/>
    <w:rsid w:val="421028D0"/>
    <w:rsid w:val="42430B15"/>
    <w:rsid w:val="42CF387E"/>
    <w:rsid w:val="431C3BF9"/>
    <w:rsid w:val="432D5C94"/>
    <w:rsid w:val="43633266"/>
    <w:rsid w:val="44316F05"/>
    <w:rsid w:val="45021BC3"/>
    <w:rsid w:val="454D02AF"/>
    <w:rsid w:val="459A3461"/>
    <w:rsid w:val="45E35180"/>
    <w:rsid w:val="463B22BD"/>
    <w:rsid w:val="46DD55BB"/>
    <w:rsid w:val="46E84754"/>
    <w:rsid w:val="470A50BE"/>
    <w:rsid w:val="47B305A3"/>
    <w:rsid w:val="482F04C1"/>
    <w:rsid w:val="48653621"/>
    <w:rsid w:val="4892340A"/>
    <w:rsid w:val="48D570B4"/>
    <w:rsid w:val="49F383F9"/>
    <w:rsid w:val="4A0155CC"/>
    <w:rsid w:val="4A724D6C"/>
    <w:rsid w:val="4AD316C4"/>
    <w:rsid w:val="4AE50A49"/>
    <w:rsid w:val="4AED5D2A"/>
    <w:rsid w:val="4B6D75CF"/>
    <w:rsid w:val="4B900649"/>
    <w:rsid w:val="4BB01F78"/>
    <w:rsid w:val="4BB12A28"/>
    <w:rsid w:val="4CDB200A"/>
    <w:rsid w:val="4CFF6CFC"/>
    <w:rsid w:val="4D706CF0"/>
    <w:rsid w:val="4D7172F9"/>
    <w:rsid w:val="4D802B2A"/>
    <w:rsid w:val="4DB63F85"/>
    <w:rsid w:val="4DDC6134"/>
    <w:rsid w:val="4DE33BAE"/>
    <w:rsid w:val="50042B10"/>
    <w:rsid w:val="51412935"/>
    <w:rsid w:val="51A60F32"/>
    <w:rsid w:val="51B053F2"/>
    <w:rsid w:val="51BF1FF4"/>
    <w:rsid w:val="51F05DFE"/>
    <w:rsid w:val="52C4076B"/>
    <w:rsid w:val="52DD0A0A"/>
    <w:rsid w:val="52FDA9C2"/>
    <w:rsid w:val="53660027"/>
    <w:rsid w:val="543A32B4"/>
    <w:rsid w:val="554B51FD"/>
    <w:rsid w:val="55AC288F"/>
    <w:rsid w:val="55D122F6"/>
    <w:rsid w:val="55DC2697"/>
    <w:rsid w:val="55EC3D60"/>
    <w:rsid w:val="567C282D"/>
    <w:rsid w:val="56976EAD"/>
    <w:rsid w:val="569D4DA3"/>
    <w:rsid w:val="56AD533F"/>
    <w:rsid w:val="570D3E8E"/>
    <w:rsid w:val="574011BC"/>
    <w:rsid w:val="5772401E"/>
    <w:rsid w:val="57746F7A"/>
    <w:rsid w:val="579A7B8A"/>
    <w:rsid w:val="57E553FE"/>
    <w:rsid w:val="57F96608"/>
    <w:rsid w:val="58CE0D6F"/>
    <w:rsid w:val="5955732F"/>
    <w:rsid w:val="59D97A87"/>
    <w:rsid w:val="5A146C55"/>
    <w:rsid w:val="5A1E67C3"/>
    <w:rsid w:val="5B083D30"/>
    <w:rsid w:val="5B90444C"/>
    <w:rsid w:val="5C7C21D3"/>
    <w:rsid w:val="5CC76201"/>
    <w:rsid w:val="5CCA0DE6"/>
    <w:rsid w:val="5D942640"/>
    <w:rsid w:val="5DF364E8"/>
    <w:rsid w:val="5E4100B9"/>
    <w:rsid w:val="5E9C64C9"/>
    <w:rsid w:val="5F0B3AED"/>
    <w:rsid w:val="5F8E2F3D"/>
    <w:rsid w:val="5FBFA2E0"/>
    <w:rsid w:val="604148A4"/>
    <w:rsid w:val="606D42C4"/>
    <w:rsid w:val="610F3AEB"/>
    <w:rsid w:val="621B2504"/>
    <w:rsid w:val="62E95424"/>
    <w:rsid w:val="631D4DCC"/>
    <w:rsid w:val="6324114F"/>
    <w:rsid w:val="634F61C7"/>
    <w:rsid w:val="6395553D"/>
    <w:rsid w:val="640B6487"/>
    <w:rsid w:val="64CB6DC2"/>
    <w:rsid w:val="64E4183F"/>
    <w:rsid w:val="653B4682"/>
    <w:rsid w:val="65511408"/>
    <w:rsid w:val="65CB47E8"/>
    <w:rsid w:val="65F4659D"/>
    <w:rsid w:val="66690322"/>
    <w:rsid w:val="66DC0906"/>
    <w:rsid w:val="673A5917"/>
    <w:rsid w:val="6793043D"/>
    <w:rsid w:val="680041E1"/>
    <w:rsid w:val="68224C33"/>
    <w:rsid w:val="68476B08"/>
    <w:rsid w:val="6891013A"/>
    <w:rsid w:val="689A1EB0"/>
    <w:rsid w:val="68A94B24"/>
    <w:rsid w:val="68E926FF"/>
    <w:rsid w:val="692D661D"/>
    <w:rsid w:val="6A1B7B8C"/>
    <w:rsid w:val="6B077E40"/>
    <w:rsid w:val="6B6C4A02"/>
    <w:rsid w:val="6BC63D72"/>
    <w:rsid w:val="6BE646ED"/>
    <w:rsid w:val="6BFD35D2"/>
    <w:rsid w:val="6C140607"/>
    <w:rsid w:val="6C7233AF"/>
    <w:rsid w:val="6CD02EB0"/>
    <w:rsid w:val="6D1C3630"/>
    <w:rsid w:val="6E0F2348"/>
    <w:rsid w:val="6F60051B"/>
    <w:rsid w:val="6F783AEC"/>
    <w:rsid w:val="6FE113FF"/>
    <w:rsid w:val="700D58C6"/>
    <w:rsid w:val="70255D2C"/>
    <w:rsid w:val="70C20957"/>
    <w:rsid w:val="70F6022B"/>
    <w:rsid w:val="714E0847"/>
    <w:rsid w:val="7159738B"/>
    <w:rsid w:val="715E25FF"/>
    <w:rsid w:val="718362AF"/>
    <w:rsid w:val="71997D14"/>
    <w:rsid w:val="73117D7E"/>
    <w:rsid w:val="73143642"/>
    <w:rsid w:val="735C65F5"/>
    <w:rsid w:val="7439596C"/>
    <w:rsid w:val="7452064E"/>
    <w:rsid w:val="74536711"/>
    <w:rsid w:val="747D561F"/>
    <w:rsid w:val="749B2846"/>
    <w:rsid w:val="74B4397C"/>
    <w:rsid w:val="769F401C"/>
    <w:rsid w:val="76A2192C"/>
    <w:rsid w:val="76BD4089"/>
    <w:rsid w:val="7709263E"/>
    <w:rsid w:val="774576B7"/>
    <w:rsid w:val="77470922"/>
    <w:rsid w:val="77477F37"/>
    <w:rsid w:val="77505EF1"/>
    <w:rsid w:val="7756584E"/>
    <w:rsid w:val="78B4488E"/>
    <w:rsid w:val="79047177"/>
    <w:rsid w:val="79426EE3"/>
    <w:rsid w:val="795E0CA6"/>
    <w:rsid w:val="79915A43"/>
    <w:rsid w:val="79BB7C13"/>
    <w:rsid w:val="79DC2E94"/>
    <w:rsid w:val="7A6A66F1"/>
    <w:rsid w:val="7A7255A6"/>
    <w:rsid w:val="7A84479E"/>
    <w:rsid w:val="7AB368F2"/>
    <w:rsid w:val="7AF8819E"/>
    <w:rsid w:val="7B936BC6"/>
    <w:rsid w:val="7C093CE8"/>
    <w:rsid w:val="7C16318E"/>
    <w:rsid w:val="7C5B3D2F"/>
    <w:rsid w:val="7CB00608"/>
    <w:rsid w:val="7CBD729F"/>
    <w:rsid w:val="7CF63249"/>
    <w:rsid w:val="7D7070C4"/>
    <w:rsid w:val="7D8F7211"/>
    <w:rsid w:val="7E656A39"/>
    <w:rsid w:val="7EAB17FD"/>
    <w:rsid w:val="7EBD6A52"/>
    <w:rsid w:val="7EED79B3"/>
    <w:rsid w:val="7F6959EC"/>
    <w:rsid w:val="A5DF980D"/>
    <w:rsid w:val="B51B8E12"/>
    <w:rsid w:val="CF5E70EF"/>
    <w:rsid w:val="D6379D76"/>
    <w:rsid w:val="F97F570E"/>
    <w:rsid w:val="FA7451EE"/>
    <w:rsid w:val="FB58CC49"/>
    <w:rsid w:val="FF3FE0D6"/>
    <w:rsid w:val="FFFF9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xinhuanet</Company>
  <Pages>5</Pages>
  <Words>1604</Words>
  <Characters>1682</Characters>
  <Lines>0</Lines>
  <Paragraphs>0</Paragraphs>
  <TotalTime>25</TotalTime>
  <ScaleCrop>false</ScaleCrop>
  <LinksUpToDate>false</LinksUpToDate>
  <CharactersWithSpaces>1737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2022-06-15T10:47:00Z</dcterms:created>
  <dc:creator>小玉</dc:creator>
  <cp:lastModifiedBy>zhoulm</cp:lastModifiedBy>
  <cp:lastPrinted>2022-06-23T01:21:00Z</cp:lastPrinted>
  <dcterms:modified xsi:type="dcterms:W3CDTF">2022-06-23T10:23:42Z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63A7FB5FC7064E3EBF161C8559485F3E</vt:lpwstr>
  </property>
</Properties>
</file>