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0"/>
          <w:szCs w:val="36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545"/>
        <w:gridCol w:w="1200"/>
        <w:gridCol w:w="691"/>
        <w:gridCol w:w="1484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4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传统纺织产业升级“蝶变”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6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4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字数/时长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968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李艳玲、盛玮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求是杂志社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求是网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2023-06-20 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fldChar w:fldCharType="begin"/>
            </w:r>
            <w:r>
              <w:rPr>
                <w:rFonts w:ascii="仿宋" w:hAnsi="仿宋" w:eastAsia="仿宋"/>
                <w:szCs w:val="21"/>
              </w:rPr>
              <w:instrText xml:space="preserve"> HYPERLINK "https://mp.weixin.qq.com/s/OCwIdhT7kS-69tNIwPANIA" </w:instrText>
            </w:r>
            <w:r>
              <w:rPr>
                <w:rFonts w:ascii="仿宋" w:hAnsi="仿宋" w:eastAsia="仿宋"/>
                <w:szCs w:val="21"/>
              </w:rPr>
              <w:fldChar w:fldCharType="separate"/>
            </w:r>
            <w:r>
              <w:rPr>
                <w:rStyle w:val="4"/>
                <w:rFonts w:ascii="仿宋" w:hAnsi="仿宋" w:eastAsia="仿宋"/>
                <w:szCs w:val="21"/>
              </w:rPr>
              <w:t>https://mp.weixin.qq.com/s/OCwIdhT7kS-69tNIwPANIA</w:t>
            </w:r>
            <w:r>
              <w:rPr>
                <w:rFonts w:ascii="仿宋" w:hAnsi="仿宋" w:eastAsia="仿宋"/>
                <w:szCs w:val="21"/>
              </w:rPr>
              <w:fldChar w:fldCharType="end"/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drawing>
                <wp:inline distT="0" distB="0" distL="114300" distR="114300">
                  <wp:extent cx="1381760" cy="1381760"/>
                  <wp:effectExtent l="0" t="0" r="8890" b="8890"/>
                  <wp:docPr id="1" name="图片 1" descr="传统纺织产业升级“蝶变”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传统纺织产业升级“蝶变”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bookmarkStart w:id="1" w:name="_Hlk163317631"/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社记者盛玮参加中宣部“高质量发展调研行”浙江省主题采访活动，从6天的采访行程中，精心选择和策划传统纺织产业转型升级的采访主题，按照“小切口、大主题”的思路，以习近平总书记关于高质量发展的重要论述作为采访线索，聚焦绍兴市柯桥区纺织印染产业，实地调研蓝印时尚小镇、迎丰科技有限公司、浙江省现代纺织技术创新中心和中国轻纺城，深入挖掘当地纺织印染产业由彼时的“低散乱”和高耗能、高成本、高污染向集约化、数字化、智能化、绿色化转型升级过程中的生动故事和精彩瞬间，打破传统产业是落后产能、“夕阳产业”的刻板印象，展示传统纺织产业插上科技的翅膀，华丽转身为“新兴行业”、“朝阳行业”，成功走上高质量发展的生动历程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本报道刊登在《求是》杂志2023年第12期；学习强国首页推送，阅读量超16万，点赞超1万；154家媒体转载，总阅读量385.2万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 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该报道是我社2023年“高质量发展调研”主题采访报道中的一篇优秀作品，该稿件精心策划报道主题，敏锐抓住了传统产业升级这一高质量发展的重要方面，突出典型性、代表性，从纺织印染行业升级这一小切口入手，语言平实、逻辑清晰、以小见大，充分反映出我国高质量发展取得的明显成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24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bookmarkStart w:id="2" w:name="_GoBack"/>
            <w:bookmarkEnd w:id="2"/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TZlM2E2OTNjYjgyMmI4ODE4YjRjMzA2OWQ3NTgifQ=="/>
  </w:docVars>
  <w:rsids>
    <w:rsidRoot w:val="47E10CDD"/>
    <w:rsid w:val="079E7F8A"/>
    <w:rsid w:val="26C61774"/>
    <w:rsid w:val="47E10CDD"/>
    <w:rsid w:val="59FF2B6A"/>
    <w:rsid w:val="6E971715"/>
    <w:rsid w:val="75377467"/>
    <w:rsid w:val="7FCF41D3"/>
    <w:rsid w:val="BC376895"/>
    <w:rsid w:val="FEBB3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2024-04-08T07:46:00Z</dcterms:created>
  <dc:creator>Administrator</dc:creator>
  <cp:lastModifiedBy>zhoulm</cp:lastModifiedBy>
  <dcterms:modified xsi:type="dcterms:W3CDTF">2024-04-07T14:37:08Z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DC0C6B5B1DD54B609BE1E332EFF06FE2_11</vt:lpwstr>
  </property>
</Properties>
</file>